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0"/>
        <w:gridCol w:w="6480"/>
      </w:tblGrid>
      <w:tr w:rsidR="00112D1C" w:rsidRPr="00112D1C" w:rsidTr="00112D1C">
        <w:trPr>
          <w:tblCellSpacing w:w="15" w:type="dxa"/>
        </w:trPr>
        <w:tc>
          <w:tcPr>
            <w:tcW w:w="3975" w:type="dxa"/>
            <w:shd w:val="clear" w:color="auto" w:fill="FFFFFF"/>
            <w:vAlign w:val="center"/>
            <w:hideMark/>
          </w:tcPr>
          <w:p w:rsidR="00112D1C" w:rsidRPr="00112D1C" w:rsidRDefault="00112D1C" w:rsidP="00112D1C">
            <w:pPr>
              <w:spacing w:before="75" w:after="75" w:line="300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BỘ TÀI CHÍNH</w:t>
            </w:r>
          </w:p>
          <w:p w:rsidR="00112D1C" w:rsidRPr="00112D1C" w:rsidRDefault="00112D1C" w:rsidP="00112D1C">
            <w:pPr>
              <w:spacing w:before="75" w:after="75" w:line="300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>TỔNG CỤC HẢI QUAN</w:t>
            </w:r>
          </w:p>
        </w:tc>
        <w:tc>
          <w:tcPr>
            <w:tcW w:w="0" w:type="auto"/>
            <w:shd w:val="clear" w:color="auto" w:fill="FFFFFF"/>
            <w:hideMark/>
          </w:tcPr>
          <w:p w:rsidR="00112D1C" w:rsidRPr="00112D1C" w:rsidRDefault="00112D1C" w:rsidP="00112D1C">
            <w:pPr>
              <w:spacing w:before="75" w:after="75" w:line="300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>CỘNG HÒA XÃ HỘI CHỦ NGHĨA VIỆT NAM</w:t>
            </w:r>
          </w:p>
          <w:p w:rsidR="00112D1C" w:rsidRPr="00112D1C" w:rsidRDefault="00112D1C" w:rsidP="00112D1C">
            <w:pPr>
              <w:spacing w:before="75" w:after="75" w:line="300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proofErr w:type="spellStart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>Độc</w:t>
            </w:r>
            <w:proofErr w:type="spellEnd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>lập</w:t>
            </w:r>
            <w:proofErr w:type="spellEnd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 xml:space="preserve"> - </w:t>
            </w:r>
            <w:proofErr w:type="spellStart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>Tự</w:t>
            </w:r>
            <w:proofErr w:type="spellEnd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 xml:space="preserve"> do - </w:t>
            </w:r>
            <w:proofErr w:type="spellStart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>Hạnh</w:t>
            </w:r>
            <w:proofErr w:type="spellEnd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>phúc</w:t>
            </w:r>
            <w:proofErr w:type="spellEnd"/>
          </w:p>
        </w:tc>
      </w:tr>
      <w:tr w:rsidR="00112D1C" w:rsidRPr="00112D1C" w:rsidTr="00112D1C">
        <w:trPr>
          <w:tblCellSpacing w:w="15" w:type="dxa"/>
        </w:trPr>
        <w:tc>
          <w:tcPr>
            <w:tcW w:w="3975" w:type="dxa"/>
            <w:shd w:val="clear" w:color="auto" w:fill="FFFFFF"/>
            <w:vAlign w:val="center"/>
            <w:hideMark/>
          </w:tcPr>
          <w:p w:rsidR="00112D1C" w:rsidRPr="00112D1C" w:rsidRDefault="00112D1C" w:rsidP="00112D1C">
            <w:pPr>
              <w:spacing w:before="75" w:after="75" w:line="300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Số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: 1179/TCHQ-VNACCS</w:t>
            </w:r>
          </w:p>
          <w:p w:rsidR="00112D1C" w:rsidRPr="00112D1C" w:rsidRDefault="00112D1C" w:rsidP="00112D1C">
            <w:pPr>
              <w:spacing w:before="75" w:after="75" w:line="300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V/v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thúc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đẩy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tham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gia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VNACCS/VCIS</w:t>
            </w:r>
          </w:p>
        </w:tc>
        <w:tc>
          <w:tcPr>
            <w:tcW w:w="0" w:type="auto"/>
            <w:shd w:val="clear" w:color="auto" w:fill="FFFFFF"/>
            <w:hideMark/>
          </w:tcPr>
          <w:p w:rsidR="00112D1C" w:rsidRPr="00112D1C" w:rsidRDefault="00112D1C" w:rsidP="00112D1C">
            <w:pPr>
              <w:spacing w:before="75" w:after="75" w:line="300" w:lineRule="atLeast"/>
              <w:jc w:val="righ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676767"/>
                <w:sz w:val="24"/>
                <w:szCs w:val="24"/>
              </w:rPr>
              <w:t>Hà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676767"/>
                <w:sz w:val="24"/>
                <w:szCs w:val="24"/>
              </w:rPr>
              <w:t>Nội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676767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676767"/>
                <w:sz w:val="24"/>
                <w:szCs w:val="24"/>
              </w:rPr>
              <w:t>ngày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676767"/>
                <w:sz w:val="24"/>
                <w:szCs w:val="24"/>
              </w:rPr>
              <w:t xml:space="preserve"> 06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676767"/>
                <w:sz w:val="24"/>
                <w:szCs w:val="24"/>
              </w:rPr>
              <w:t>tháng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676767"/>
                <w:sz w:val="24"/>
                <w:szCs w:val="24"/>
              </w:rPr>
              <w:t xml:space="preserve"> 02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676767"/>
                <w:sz w:val="24"/>
                <w:szCs w:val="24"/>
              </w:rPr>
              <w:t>năm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676767"/>
                <w:sz w:val="24"/>
                <w:szCs w:val="24"/>
              </w:rPr>
              <w:t xml:space="preserve"> 20143</w:t>
            </w:r>
          </w:p>
        </w:tc>
      </w:tr>
    </w:tbl>
    <w:p w:rsidR="00112D1C" w:rsidRPr="00112D1C" w:rsidRDefault="00112D1C" w:rsidP="00112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112D1C">
        <w:rPr>
          <w:rFonts w:ascii="Arial" w:eastAsia="Times New Roman" w:hAnsi="Arial" w:cs="Arial"/>
          <w:color w:val="676767"/>
          <w:sz w:val="24"/>
          <w:szCs w:val="24"/>
        </w:rPr>
        <w:t> </w:t>
      </w: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112D1C" w:rsidRPr="00112D1C" w:rsidTr="00112D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2D1C" w:rsidRPr="00112D1C" w:rsidRDefault="00112D1C" w:rsidP="00112D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Kính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gửi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trưởng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112D1C" w:rsidRPr="00112D1C" w:rsidRDefault="00112D1C" w:rsidP="00112D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112D1C" w:rsidRPr="00112D1C" w:rsidTr="00112D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2D1C" w:rsidRPr="00112D1C" w:rsidRDefault="00112D1C" w:rsidP="00112D1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Để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giúp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bộ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công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chức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xuất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nhập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khẩu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hiểu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vận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thạo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chức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năng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trình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vụ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trên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VNCCS/VCIS,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Tổng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đã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Công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số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6277/TCHQ-VNACCS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25/10/2013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bản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liên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hướng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dẫn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công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chức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XNK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chạy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thử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VNACCS/VCIS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phạm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toàn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quốc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từ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15/11/2013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đến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15/02/2014.</w:t>
            </w:r>
          </w:p>
          <w:p w:rsidR="00112D1C" w:rsidRPr="00112D1C" w:rsidRDefault="00112D1C" w:rsidP="00112D1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nhiên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qua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dõi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thực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hiện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trên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VNACCS/VCIS,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Tổng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nhận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thấy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số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lượng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XNK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chạy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thử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VNACCS/VCIS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thời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vừa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còn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rất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hạn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chế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này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nếu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không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được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thiện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sẽ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ảnh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hưởng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đến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lộ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trình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chất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lượng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triển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thức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VNACCS/VCIS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từ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01/4/2014.</w:t>
            </w:r>
          </w:p>
          <w:p w:rsidR="00112D1C" w:rsidRPr="00112D1C" w:rsidRDefault="00112D1C" w:rsidP="00112D1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Đảm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bảo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đưa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VNACCS/VCIS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vận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công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đúng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kế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hoạch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đặt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quyết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tâm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rất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Lãnh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đạo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Đảng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nước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phủ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Bộ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Tài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Tổng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Vì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vậy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bối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cảnh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thời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từ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nay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đến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VNACCS/VCIS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thức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vận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còn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rất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ít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trên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cơ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sở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tích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toàn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diện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trước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mắt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Tổng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ưu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tiên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tập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mọi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nguồn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lực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sức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mạnh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toàn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để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thúc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đẩy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3.980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XNK (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chiếm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tỷ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80%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tờ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chạy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thử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chạy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thức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VNACCS/VCIS.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thời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vẫn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tiếp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trì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khuyến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khích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vận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động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XNK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đã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đang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chạy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thử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VNACCS/VCIS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tiếp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chạy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thử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112D1C" w:rsidRPr="00112D1C" w:rsidRDefault="00112D1C" w:rsidP="00112D1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Để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thực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hiện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pháp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trên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Tổng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đã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lập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sách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xuất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nhập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khẩu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chiếm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80%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tờ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từng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gồm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cả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nơi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thường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xuyên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mở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tờ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Căn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cứ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sách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này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Tổng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đề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nghị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trưởng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nằm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trong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danh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sách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chiếm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80%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tờ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khai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</w:t>
            </w:r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làm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trực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tiếp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đôn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đốc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thời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yêu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cầu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ký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cam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kết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đảm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bảo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100%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này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chạy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thử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chạy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thức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VNACCS/VCIS.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Thời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hạn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hoàn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ký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cam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kết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VNACCS/VCIS 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xong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trước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ngày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20/02/2014</w:t>
            </w:r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112D1C" w:rsidRPr="00112D1C" w:rsidRDefault="00112D1C" w:rsidP="00112D1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Gửi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kèm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theo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đây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danh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sách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XNK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nằm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trong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chiếm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80%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tờ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khai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thường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xuyên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mở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tờ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khai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tại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đơn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vị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).</w:t>
            </w:r>
          </w:p>
          <w:p w:rsidR="00112D1C" w:rsidRPr="00112D1C" w:rsidRDefault="00112D1C" w:rsidP="00112D1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proofErr w:type="spellStart"/>
            <w:r w:rsidRPr="00112D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Lưu</w:t>
            </w:r>
            <w:proofErr w:type="spellEnd"/>
            <w:r w:rsidRPr="00112D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ý:</w:t>
            </w:r>
          </w:p>
          <w:p w:rsidR="00112D1C" w:rsidRPr="00112D1C" w:rsidRDefault="00112D1C" w:rsidP="00112D1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  Do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thời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triển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rất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gấp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rút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Tổng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đề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nghị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trưởng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hoàn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chỉ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tiêu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100%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XNK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phân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đơn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vị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mình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VNACCS/VCIS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đúng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kế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hoạch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ưu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tiên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số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một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năm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2014.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Trên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cơ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sở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đó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trưởng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tập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chỉ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đạo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chóng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tổ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chức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thực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hiện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đơn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vị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mình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hoàn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chỉ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tiêu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này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sẽ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một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những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tiêu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trọng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để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đánh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giá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hoàn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nhiệm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vụ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trị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đơn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vị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trong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năm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2014.</w:t>
            </w:r>
          </w:p>
          <w:p w:rsidR="00112D1C" w:rsidRPr="00112D1C" w:rsidRDefault="00112D1C" w:rsidP="00112D1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đơn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vị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gửi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tình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hình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thực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hiện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ký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cam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kết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doanh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XNK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tham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gia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chạy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thử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chạy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thức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thống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VNACCS/VCIS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Tổng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(qua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đầu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mối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Triển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dự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án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VNACCS/VCIS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bằng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file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điện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tử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và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bản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giấy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trước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28/02/2014.</w:t>
            </w:r>
          </w:p>
          <w:p w:rsidR="00112D1C" w:rsidRPr="00112D1C" w:rsidRDefault="00112D1C" w:rsidP="00112D1C">
            <w:pPr>
              <w:spacing w:before="150" w:after="150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Đầu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mối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liên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hệ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: Đ/c Cao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Huy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Tài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, Ban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Triển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khai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dự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án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VNACCS/VCIS,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di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động</w:t>
            </w:r>
            <w:proofErr w:type="spellEnd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: 0914942128, E-</w:t>
            </w:r>
            <w:proofErr w:type="spellStart"/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mail:</w:t>
            </w:r>
            <w:hyperlink r:id="rId4" w:history="1">
              <w:r w:rsidRPr="00112D1C">
                <w:rPr>
                  <w:rFonts w:ascii="Arial" w:eastAsia="Times New Roman" w:hAnsi="Arial" w:cs="Arial"/>
                  <w:i/>
                  <w:iCs/>
                  <w:color w:val="B10069"/>
                  <w:sz w:val="24"/>
                  <w:szCs w:val="24"/>
                </w:rPr>
                <w:t>taich@customs.gov.vn</w:t>
              </w:r>
              <w:proofErr w:type="spellEnd"/>
            </w:hyperlink>
            <w:r w:rsidRPr="00112D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</w:t>
            </w:r>
          </w:p>
          <w:p w:rsidR="00112D1C" w:rsidRPr="00112D1C" w:rsidRDefault="00112D1C" w:rsidP="00112D1C">
            <w:pPr>
              <w:spacing w:before="150" w:after="15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Tổng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để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đồng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chí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trưởng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Hải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tỉnh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thành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phố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biết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khẩn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trương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tổ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chức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thực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hiện</w:t>
            </w:r>
            <w:proofErr w:type="spellEnd"/>
            <w:r w:rsidRPr="00112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./.</w:t>
            </w:r>
          </w:p>
        </w:tc>
      </w:tr>
    </w:tbl>
    <w:p w:rsidR="00112D1C" w:rsidRPr="00112D1C" w:rsidRDefault="00112D1C" w:rsidP="00112D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6405"/>
      </w:tblGrid>
      <w:tr w:rsidR="00112D1C" w:rsidRPr="00112D1C" w:rsidTr="00112D1C">
        <w:trPr>
          <w:tblCellSpacing w:w="15" w:type="dxa"/>
        </w:trPr>
        <w:tc>
          <w:tcPr>
            <w:tcW w:w="4050" w:type="dxa"/>
            <w:shd w:val="clear" w:color="auto" w:fill="FFFFFF"/>
            <w:vAlign w:val="center"/>
            <w:hideMark/>
          </w:tcPr>
          <w:p w:rsidR="00112D1C" w:rsidRPr="00112D1C" w:rsidRDefault="00112D1C" w:rsidP="00112D1C">
            <w:pPr>
              <w:spacing w:before="100" w:beforeAutospacing="1" w:after="100" w:afterAutospacing="1" w:line="195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 </w:t>
            </w:r>
          </w:p>
          <w:p w:rsidR="00112D1C" w:rsidRPr="00112D1C" w:rsidRDefault="00112D1C" w:rsidP="00112D1C">
            <w:pPr>
              <w:spacing w:before="75" w:after="75" w:line="300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Nơi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nhận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:</w:t>
            </w:r>
          </w:p>
          <w:p w:rsidR="00112D1C" w:rsidRPr="00112D1C" w:rsidRDefault="00112D1C" w:rsidP="00112D1C">
            <w:pPr>
              <w:spacing w:before="75" w:after="75" w:line="300" w:lineRule="atLeast"/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</w:pPr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- 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Như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trên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;</w:t>
            </w:r>
          </w:p>
          <w:p w:rsidR="00112D1C" w:rsidRPr="00112D1C" w:rsidRDefault="00112D1C" w:rsidP="00112D1C">
            <w:pPr>
              <w:spacing w:before="75" w:after="75" w:line="300" w:lineRule="atLeast"/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</w:pPr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- 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Lãnh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đạo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Tổng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cục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(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để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chỉ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đạo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);</w:t>
            </w:r>
          </w:p>
          <w:p w:rsidR="00112D1C" w:rsidRPr="00112D1C" w:rsidRDefault="00112D1C" w:rsidP="00112D1C">
            <w:pPr>
              <w:spacing w:before="75" w:after="75" w:line="300" w:lineRule="atLeast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 xml:space="preserve">- </w:t>
            </w:r>
            <w:proofErr w:type="spellStart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Lưu</w:t>
            </w:r>
            <w:proofErr w:type="spellEnd"/>
            <w:r w:rsidRPr="00112D1C">
              <w:rPr>
                <w:rFonts w:ascii="Arial" w:eastAsia="Times New Roman" w:hAnsi="Arial" w:cs="Arial"/>
                <w:color w:val="676767"/>
                <w:sz w:val="24"/>
                <w:szCs w:val="24"/>
              </w:rPr>
              <w:t>: VT, VNACCS (8b).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2D1C" w:rsidRPr="00112D1C" w:rsidRDefault="00112D1C" w:rsidP="00112D1C">
            <w:pPr>
              <w:spacing w:before="75" w:after="75" w:line="160" w:lineRule="atLeast"/>
              <w:jc w:val="center"/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</w:pPr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>TỔNG </w:t>
            </w:r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  <w:lang w:val="vi-VN"/>
              </w:rPr>
              <w:t>CỤC TRƯỞNG</w:t>
            </w:r>
          </w:p>
          <w:p w:rsidR="00112D1C" w:rsidRPr="00112D1C" w:rsidRDefault="00112D1C" w:rsidP="00112D1C">
            <w:pPr>
              <w:spacing w:before="75" w:after="75" w:line="160" w:lineRule="atLeast"/>
              <w:jc w:val="center"/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</w:pPr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  <w:lang w:val="vi-VN"/>
              </w:rPr>
              <w:t>Nguyễn </w:t>
            </w:r>
            <w:proofErr w:type="spellStart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>Ngọc</w:t>
            </w:r>
            <w:proofErr w:type="spellEnd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>Túc</w:t>
            </w:r>
            <w:proofErr w:type="spellEnd"/>
          </w:p>
          <w:p w:rsidR="00112D1C" w:rsidRPr="00112D1C" w:rsidRDefault="00112D1C" w:rsidP="00112D1C">
            <w:pPr>
              <w:spacing w:before="75" w:after="75" w:line="195" w:lineRule="atLeast"/>
              <w:jc w:val="center"/>
              <w:rPr>
                <w:rFonts w:ascii="Arial" w:eastAsia="Times New Roman" w:hAnsi="Arial" w:cs="Arial"/>
                <w:color w:val="676767"/>
                <w:sz w:val="24"/>
                <w:szCs w:val="24"/>
              </w:rPr>
            </w:pPr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>(</w:t>
            </w:r>
            <w:proofErr w:type="spellStart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>Đã</w:t>
            </w:r>
            <w:proofErr w:type="spellEnd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 xml:space="preserve"> </w:t>
            </w:r>
            <w:proofErr w:type="spellStart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>ký</w:t>
            </w:r>
            <w:proofErr w:type="spellEnd"/>
            <w:r w:rsidRPr="00112D1C">
              <w:rPr>
                <w:rFonts w:ascii="Arial" w:eastAsia="Times New Roman" w:hAnsi="Arial" w:cs="Arial"/>
                <w:b/>
                <w:bCs/>
                <w:color w:val="676767"/>
                <w:sz w:val="24"/>
                <w:szCs w:val="24"/>
              </w:rPr>
              <w:t>)</w:t>
            </w:r>
          </w:p>
        </w:tc>
      </w:tr>
    </w:tbl>
    <w:p w:rsidR="001F5DD5" w:rsidRDefault="001F5DD5"/>
    <w:sectPr w:rsidR="001F5DD5" w:rsidSect="001F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D1C"/>
    <w:rsid w:val="00112D1C"/>
    <w:rsid w:val="001F5DD5"/>
    <w:rsid w:val="0032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1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2D1C"/>
    <w:rPr>
      <w:b/>
      <w:bCs/>
    </w:rPr>
  </w:style>
  <w:style w:type="paragraph" w:customStyle="1" w:styleId="style5">
    <w:name w:val="style5"/>
    <w:basedOn w:val="Normal"/>
    <w:rsid w:val="001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D1C"/>
    <w:rPr>
      <w:i/>
      <w:iCs/>
    </w:rPr>
  </w:style>
  <w:style w:type="paragraph" w:customStyle="1" w:styleId="style4">
    <w:name w:val="style4"/>
    <w:basedOn w:val="Normal"/>
    <w:rsid w:val="001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1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1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2D1C"/>
  </w:style>
  <w:style w:type="character" w:customStyle="1" w:styleId="style12">
    <w:name w:val="style12"/>
    <w:basedOn w:val="DefaultParagraphFont"/>
    <w:rsid w:val="00112D1C"/>
  </w:style>
  <w:style w:type="paragraph" w:customStyle="1" w:styleId="style13">
    <w:name w:val="style13"/>
    <w:basedOn w:val="Normal"/>
    <w:rsid w:val="001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1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rsid w:val="00112D1C"/>
  </w:style>
  <w:style w:type="paragraph" w:customStyle="1" w:styleId="style11">
    <w:name w:val="style11"/>
    <w:basedOn w:val="Normal"/>
    <w:rsid w:val="001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112D1C"/>
  </w:style>
  <w:style w:type="paragraph" w:customStyle="1" w:styleId="style14">
    <w:name w:val="style14"/>
    <w:basedOn w:val="Normal"/>
    <w:rsid w:val="001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rsid w:val="001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rsid w:val="001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rsid w:val="001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ich@customs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LocalSetup</dc:creator>
  <cp:lastModifiedBy>LocalSetup</cp:lastModifiedBy>
  <cp:revision>2</cp:revision>
  <dcterms:created xsi:type="dcterms:W3CDTF">2014-02-17T09:36:00Z</dcterms:created>
  <dcterms:modified xsi:type="dcterms:W3CDTF">2014-02-17T09:36:00Z</dcterms:modified>
</cp:coreProperties>
</file>